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Accertamento requisiti di dimora abituale delle variazioni di residenza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nell'accertamento requisiti di dimora abituale delle variazioni di residenza. La legge obbliga l'ufficiale anagrafico a verificare la sussistenza del requisito della abitualita' della dimora di chi richiede l'iscrizione nell'Anagrafe del comune. Gli accertamenti devono essere svolti dal corpo di polizia municipale o da altro personale comunale a cio' autorizzato. I controlli devono essere effettuati nei 45 giorni successivi alla dichiarazione resa o inviata nei modi previsti dalla legge (posta, e-mail ecc.).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1228/1954 - Ordinamento delle anagrafi della popolazione residente - D.Lgs. 286/1998 - Testo Unico Immigrazione - D.P.R. 394/1999 - Regolamento recante norme di attuazione del Testo Unico immigrazione, D.Lgs. 286/1998 - D.P.R. 223/1989 - Approvazione del nuovo regolamento anagrafico della popolazione residente - L. 35/2012 - Disposizioni urgenti in materia di semplificazione e sviluppo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45 giorni dall'istanza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motivato, relazione di verifica.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